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38D" w:rsidRDefault="0082259B">
      <w:pPr>
        <w:rPr>
          <w:b/>
        </w:rPr>
      </w:pPr>
      <w:r w:rsidRPr="0082259B">
        <w:rPr>
          <w:b/>
        </w:rPr>
        <w:t xml:space="preserve">Preparazione all’esame </w:t>
      </w:r>
      <w:proofErr w:type="gramStart"/>
      <w:r w:rsidRPr="0082259B">
        <w:rPr>
          <w:b/>
        </w:rPr>
        <w:t xml:space="preserve">di </w:t>
      </w:r>
      <w:proofErr w:type="gramEnd"/>
      <w:r w:rsidRPr="0082259B">
        <w:rPr>
          <w:b/>
        </w:rPr>
        <w:t>ingegneria di base 28 aprile 2014.</w:t>
      </w:r>
    </w:p>
    <w:p w:rsidR="0082259B" w:rsidRDefault="0082259B">
      <w:r>
        <w:t>Prof. Dalla Palma</w:t>
      </w:r>
    </w:p>
    <w:p w:rsidR="0082259B" w:rsidRDefault="0082259B">
      <w:pPr>
        <w:rPr>
          <w:b/>
        </w:rPr>
      </w:pPr>
      <w:r w:rsidRPr="0082259B">
        <w:rPr>
          <w:b/>
        </w:rPr>
        <w:t xml:space="preserve">Spiegare la differenza tra ignizione stabile e </w:t>
      </w:r>
      <w:proofErr w:type="gramStart"/>
      <w:r w:rsidRPr="0082259B">
        <w:rPr>
          <w:b/>
        </w:rPr>
        <w:t>ignizione</w:t>
      </w:r>
      <w:proofErr w:type="gramEnd"/>
      <w:r w:rsidRPr="0082259B">
        <w:rPr>
          <w:b/>
        </w:rPr>
        <w:t xml:space="preserve"> instabile.</w:t>
      </w:r>
    </w:p>
    <w:p w:rsidR="0082259B" w:rsidRDefault="0082259B">
      <w:r>
        <w:t xml:space="preserve">Una volta raggiunta la condizione di accensione “ignizione” del plasma i sistemi di riscaldamento addizionale </w:t>
      </w:r>
      <w:proofErr w:type="gramStart"/>
      <w:r>
        <w:t>possono</w:t>
      </w:r>
      <w:proofErr w:type="gramEnd"/>
      <w:r>
        <w:t xml:space="preserve"> essere spenti e la condizione di fusione si autosostiene.</w:t>
      </w:r>
    </w:p>
    <w:p w:rsidR="0082259B" w:rsidRDefault="0082259B">
      <w:r>
        <w:t>Dato che il bilancio di potenza in qualsiasi macchina termonucleare</w:t>
      </w:r>
      <w:r w:rsidR="00633E63">
        <w:t xml:space="preserve"> per fusione</w:t>
      </w:r>
      <w:r>
        <w:t xml:space="preserve"> è dato dalla somma della potenza fornita esternamente tramite i sistemi di riscaldamento e da quella autoprodotta dal plasma a causa della produzione di particelle alfa, e che questa somma all’equilibrio diventa pari alla totale potenza dissipata dal plasma stesso, una volta spenti i sistemi di riscaldamento, il bilancio passa da:</w:t>
      </w:r>
    </w:p>
    <w:p w:rsidR="0082259B" w:rsidRDefault="0082259B">
      <w:r>
        <w:rPr>
          <w:noProof/>
        </w:rPr>
        <w:drawing>
          <wp:inline distT="0" distB="0" distL="0" distR="0">
            <wp:extent cx="2162175" cy="290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3163" cy="291918"/>
                    </a:xfrm>
                    <a:prstGeom prst="rect">
                      <a:avLst/>
                    </a:prstGeom>
                    <a:noFill/>
                    <a:ln>
                      <a:noFill/>
                    </a:ln>
                  </pic:spPr>
                </pic:pic>
              </a:graphicData>
            </a:graphic>
          </wp:inline>
        </w:drawing>
      </w:r>
      <w:r>
        <w:t xml:space="preserve"> </w:t>
      </w:r>
    </w:p>
    <w:p w:rsidR="000D121D" w:rsidRDefault="0044132D">
      <w:r>
        <w:t>Dove i termini rappresentano:</w:t>
      </w:r>
    </w:p>
    <w:p w:rsidR="0044132D" w:rsidRDefault="0044132D">
      <w:r>
        <w:t>P</w:t>
      </w:r>
      <w:r w:rsidRPr="0044132D">
        <w:rPr>
          <w:vertAlign w:val="subscript"/>
        </w:rPr>
        <w:t>L</w:t>
      </w:r>
      <w:r>
        <w:rPr>
          <w:vertAlign w:val="subscript"/>
        </w:rPr>
        <w:t xml:space="preserve"> </w:t>
      </w:r>
      <w:r>
        <w:t>=</w:t>
      </w:r>
      <w:proofErr w:type="spellStart"/>
      <w:r>
        <w:t>Power</w:t>
      </w:r>
      <w:proofErr w:type="spellEnd"/>
      <w:r>
        <w:t xml:space="preserve"> </w:t>
      </w:r>
      <w:proofErr w:type="spellStart"/>
      <w:r>
        <w:t>loss</w:t>
      </w:r>
      <w:proofErr w:type="spellEnd"/>
      <w:r>
        <w:t xml:space="preserve"> ovvero potenza dissipata dal plasma</w:t>
      </w:r>
      <w:r w:rsidR="000876AF">
        <w:t xml:space="preserve">.  </w:t>
      </w:r>
      <w:r>
        <w:t>Questa è definita come:</w:t>
      </w:r>
    </w:p>
    <w:p w:rsidR="0044132D" w:rsidRDefault="0044132D">
      <w:r>
        <w:rPr>
          <w:noProof/>
        </w:rPr>
        <w:drawing>
          <wp:inline distT="0" distB="0" distL="0" distR="0">
            <wp:extent cx="809625" cy="44759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9625" cy="447598"/>
                    </a:xfrm>
                    <a:prstGeom prst="rect">
                      <a:avLst/>
                    </a:prstGeom>
                    <a:noFill/>
                    <a:ln>
                      <a:noFill/>
                    </a:ln>
                  </pic:spPr>
                </pic:pic>
              </a:graphicData>
            </a:graphic>
          </wp:inline>
        </w:drawing>
      </w:r>
    </w:p>
    <w:p w:rsidR="0044132D" w:rsidRPr="0044132D" w:rsidRDefault="0044132D">
      <w:r>
        <w:t xml:space="preserve">Dove </w:t>
      </w:r>
      <w:r w:rsidRPr="00DE3BF6">
        <w:rPr>
          <w:b/>
        </w:rPr>
        <w:t>n</w:t>
      </w:r>
      <w:r>
        <w:t>=densità totale del plasma,</w:t>
      </w:r>
      <w:r w:rsidRPr="00DE3BF6">
        <w:rPr>
          <w:b/>
        </w:rPr>
        <w:t xml:space="preserve"> T</w:t>
      </w:r>
      <w:r>
        <w:t xml:space="preserve">= temperatura </w:t>
      </w:r>
      <w:proofErr w:type="spellStart"/>
      <w:r w:rsidR="00DE3BF6">
        <w:t>KeV</w:t>
      </w:r>
      <w:proofErr w:type="spellEnd"/>
      <w:r w:rsidR="00DE3BF6">
        <w:t xml:space="preserve"> (il </w:t>
      </w:r>
      <w:proofErr w:type="spellStart"/>
      <w:r w:rsidR="00DE3BF6">
        <w:t>range</w:t>
      </w:r>
      <w:proofErr w:type="spellEnd"/>
      <w:r w:rsidR="00DE3BF6">
        <w:t xml:space="preserve"> vicino all’</w:t>
      </w:r>
      <w:r w:rsidR="002A5BE8">
        <w:t>ignizione è tra circa10-&gt;20</w:t>
      </w:r>
      <w:r w:rsidR="00DE3BF6">
        <w:t>KeV), V= volume in metri cubi</w:t>
      </w:r>
      <w:proofErr w:type="gramStart"/>
      <w:r w:rsidR="00DE3BF6">
        <w:t>,</w:t>
      </w:r>
      <w:proofErr w:type="gramEnd"/>
      <w:r w:rsidR="00DE3BF6">
        <w:t xml:space="preserve"> </w:t>
      </w:r>
      <w:r w:rsidR="00DE3BF6">
        <w:rPr>
          <w:noProof/>
        </w:rPr>
        <w:drawing>
          <wp:inline distT="0" distB="0" distL="0" distR="0">
            <wp:extent cx="257175" cy="190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 cy="190500"/>
                    </a:xfrm>
                    <a:prstGeom prst="rect">
                      <a:avLst/>
                    </a:prstGeom>
                    <a:noFill/>
                    <a:ln>
                      <a:noFill/>
                    </a:ln>
                  </pic:spPr>
                </pic:pic>
              </a:graphicData>
            </a:graphic>
          </wp:inline>
        </w:drawing>
      </w:r>
      <w:r w:rsidR="00DE3BF6">
        <w:t>= tempo di confinamento (</w:t>
      </w:r>
      <w:r w:rsidR="000876AF">
        <w:t xml:space="preserve">per il quale si stima che </w:t>
      </w:r>
      <w:proofErr w:type="gramStart"/>
      <w:r w:rsidR="000876AF">
        <w:t>3</w:t>
      </w:r>
      <w:proofErr w:type="gramEnd"/>
      <w:r w:rsidR="000876AF">
        <w:t xml:space="preserve"> secondi siano il valore migliore da inserire nel noto triplo prodotto al fine di ottenere una reazione di fusione autosostenuta).</w:t>
      </w:r>
    </w:p>
    <w:p w:rsidR="0082259B" w:rsidRDefault="002A5BE8">
      <w:r>
        <w:rPr>
          <w:noProof/>
        </w:rPr>
        <w:drawing>
          <wp:inline distT="0" distB="0" distL="0" distR="0">
            <wp:extent cx="1666875" cy="28372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6875" cy="283723"/>
                    </a:xfrm>
                    <a:prstGeom prst="rect">
                      <a:avLst/>
                    </a:prstGeom>
                    <a:noFill/>
                    <a:ln>
                      <a:noFill/>
                    </a:ln>
                  </pic:spPr>
                </pic:pic>
              </a:graphicData>
            </a:graphic>
          </wp:inline>
        </w:drawing>
      </w:r>
      <w:r w:rsidR="002A49C0">
        <w:t xml:space="preserve">   in</w:t>
      </w:r>
      <w:r w:rsidR="00573DBA">
        <w:t xml:space="preserve"> cui siano</w:t>
      </w:r>
      <w:proofErr w:type="gramStart"/>
      <w:r w:rsidR="00573DBA">
        <w:t xml:space="preserve"> </w:t>
      </w:r>
      <w:r w:rsidR="002A49C0">
        <w:t xml:space="preserve"> </w:t>
      </w:r>
      <w:proofErr w:type="gramEnd"/>
      <w:r w:rsidR="002A49C0">
        <w:rPr>
          <w:noProof/>
        </w:rPr>
        <w:drawing>
          <wp:inline distT="0" distB="0" distL="0" distR="0" wp14:anchorId="3C870E82" wp14:editId="24445723">
            <wp:extent cx="192881" cy="142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2881" cy="142875"/>
                    </a:xfrm>
                    <a:prstGeom prst="rect">
                      <a:avLst/>
                    </a:prstGeom>
                    <a:noFill/>
                    <a:ln>
                      <a:noFill/>
                    </a:ln>
                  </pic:spPr>
                </pic:pic>
              </a:graphicData>
            </a:graphic>
          </wp:inline>
        </w:drawing>
      </w:r>
      <w:r w:rsidR="002A49C0">
        <w:t>=3s, n=10</w:t>
      </w:r>
      <w:r w:rsidR="002A49C0" w:rsidRPr="002A49C0">
        <w:rPr>
          <w:vertAlign w:val="superscript"/>
        </w:rPr>
        <w:t>21</w:t>
      </w:r>
      <w:r w:rsidR="002A49C0">
        <w:t>,</w:t>
      </w:r>
      <w:r w:rsidR="00573DBA">
        <w:t xml:space="preserve"> </w:t>
      </w:r>
      <w:r w:rsidR="002A49C0">
        <w:t>T=</w:t>
      </w:r>
      <w:r w:rsidR="001C1CE0">
        <w:t>10KeV.</w:t>
      </w:r>
    </w:p>
    <w:p w:rsidR="00EE2869" w:rsidRDefault="00812E45">
      <w:proofErr w:type="gramStart"/>
      <w:r>
        <w:t>A partire da</w:t>
      </w:r>
      <w:proofErr w:type="gramEnd"/>
      <w:r>
        <w:t xml:space="preserve"> questo presupposto, in cui si tenga costante la densità “n” del plasma, si hanno due possibili temperature di equilibrio, considerando anche l’andamento iperbolico del tempo di confinamento </w:t>
      </w:r>
      <w:r>
        <w:rPr>
          <w:noProof/>
        </w:rPr>
        <w:drawing>
          <wp:inline distT="0" distB="0" distL="0" distR="0" wp14:anchorId="3C870E82" wp14:editId="24445723">
            <wp:extent cx="192881" cy="142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025" cy="148167"/>
                    </a:xfrm>
                    <a:prstGeom prst="rect">
                      <a:avLst/>
                    </a:prstGeom>
                    <a:noFill/>
                    <a:ln>
                      <a:noFill/>
                    </a:ln>
                  </pic:spPr>
                </pic:pic>
              </a:graphicData>
            </a:graphic>
          </wp:inline>
        </w:drawing>
      </w:r>
      <w:r>
        <w:t xml:space="preserve"> </w:t>
      </w:r>
      <w:r w:rsidR="00EE2869">
        <w:t xml:space="preserve">in funzione della temperatura T, la cui proporzionalità sia imposta dalla legge:  </w:t>
      </w:r>
      <w:r w:rsidR="00EE2869">
        <w:rPr>
          <w:noProof/>
        </w:rPr>
        <w:drawing>
          <wp:inline distT="0" distB="0" distL="0" distR="0">
            <wp:extent cx="657225" cy="17333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 cy="173334"/>
                    </a:xfrm>
                    <a:prstGeom prst="rect">
                      <a:avLst/>
                    </a:prstGeom>
                    <a:noFill/>
                    <a:ln>
                      <a:noFill/>
                    </a:ln>
                  </pic:spPr>
                </pic:pic>
              </a:graphicData>
            </a:graphic>
          </wp:inline>
        </w:drawing>
      </w:r>
      <w:r w:rsidR="00633E63">
        <w:t xml:space="preserve"> possiamo mostrare in un grafico l’energia totale del plasma in funzione della temperatura, posta in ascissa, espressa in </w:t>
      </w:r>
      <w:proofErr w:type="spellStart"/>
      <w:r w:rsidR="00633E63">
        <w:t>KeV</w:t>
      </w:r>
      <w:proofErr w:type="spellEnd"/>
      <w:r w:rsidR="00633E63">
        <w:t>.</w:t>
      </w:r>
    </w:p>
    <w:p w:rsidR="00633E63" w:rsidRDefault="00633E63">
      <w:r>
        <w:t xml:space="preserve">Va tenuto presente che la ripartizione delle cause di sviluppo </w:t>
      </w:r>
      <w:proofErr w:type="gramStart"/>
      <w:r>
        <w:t>di</w:t>
      </w:r>
      <w:proofErr w:type="gramEnd"/>
      <w:r>
        <w:t xml:space="preserve"> potenza termonucleare in queste macchine va attribuita per 1/5 alle collisioni delle particelle alfa con la mistura del plasma, cosa che sicuramente avviene a causa che le alfa sono particelle che possiedono una carica e quindi non neutre. I rimanenti 4/5 della potenza termonucleare </w:t>
      </w:r>
      <w:proofErr w:type="gramStart"/>
      <w:r w:rsidR="00CE75FE">
        <w:t>saranno trasportati</w:t>
      </w:r>
      <w:proofErr w:type="gramEnd"/>
      <w:r w:rsidR="00CE75FE">
        <w:t xml:space="preserve"> fuori dal plasma dai neutroni</w:t>
      </w:r>
      <w:r w:rsidR="00593E50">
        <w:t xml:space="preserve"> che si sposteranno senza interagire con ioni e elettroni che compongono la mistura.</w:t>
      </w:r>
    </w:p>
    <w:p w:rsidR="00593E50" w:rsidRDefault="00593E50">
      <w:r>
        <w:t xml:space="preserve">Indichiamo con </w:t>
      </w:r>
      <w:r>
        <w:rPr>
          <w:noProof/>
        </w:rPr>
        <w:drawing>
          <wp:inline distT="0" distB="0" distL="0" distR="0">
            <wp:extent cx="406977" cy="190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977" cy="190500"/>
                    </a:xfrm>
                    <a:prstGeom prst="rect">
                      <a:avLst/>
                    </a:prstGeom>
                    <a:noFill/>
                    <a:ln>
                      <a:noFill/>
                    </a:ln>
                  </pic:spPr>
                </pic:pic>
              </a:graphicData>
            </a:graphic>
          </wp:inline>
        </w:drawing>
      </w:r>
      <w:r w:rsidR="00E25704">
        <w:t>la velocità</w:t>
      </w:r>
      <w:r>
        <w:t xml:space="preserve"> di reazione</w:t>
      </w:r>
      <w:r w:rsidR="00E25704">
        <w:t>, tipicamente espressa in percentuale, esempio 10%.</w:t>
      </w:r>
    </w:p>
    <w:p w:rsidR="00365AB1" w:rsidRDefault="00365AB1">
      <w:r>
        <w:t>Abbiamo quindi le seguenti espressioni fondamentali:</w:t>
      </w:r>
      <w:proofErr w:type="gramStart"/>
      <w:r>
        <w:t xml:space="preserve">             </w:t>
      </w:r>
      <w:proofErr w:type="gramEnd"/>
      <w:r>
        <w:rPr>
          <w:noProof/>
        </w:rPr>
        <w:drawing>
          <wp:inline distT="0" distB="0" distL="0" distR="0" wp14:anchorId="3FB45BDF" wp14:editId="05354611">
            <wp:extent cx="866775" cy="241190"/>
            <wp:effectExtent l="0" t="0" r="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66775" cy="241190"/>
                    </a:xfrm>
                    <a:prstGeom prst="rect">
                      <a:avLst/>
                    </a:prstGeom>
                    <a:noFill/>
                    <a:ln>
                      <a:noFill/>
                    </a:ln>
                  </pic:spPr>
                </pic:pic>
              </a:graphicData>
            </a:graphic>
          </wp:inline>
        </w:drawing>
      </w:r>
    </w:p>
    <w:p w:rsidR="00365AB1" w:rsidRDefault="00365AB1">
      <w:r>
        <w:rPr>
          <w:noProof/>
        </w:rPr>
        <w:drawing>
          <wp:inline distT="0" distB="0" distL="0" distR="0" wp14:anchorId="3D5945BA" wp14:editId="24D4BEA6">
            <wp:extent cx="1304925" cy="396819"/>
            <wp:effectExtent l="0" t="0" r="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04925" cy="396819"/>
                    </a:xfrm>
                    <a:prstGeom prst="rect">
                      <a:avLst/>
                    </a:prstGeom>
                    <a:noFill/>
                    <a:ln>
                      <a:noFill/>
                    </a:ln>
                  </pic:spPr>
                </pic:pic>
              </a:graphicData>
            </a:graphic>
          </wp:inline>
        </w:drawing>
      </w:r>
      <w:r>
        <w:t xml:space="preserve">      </w:t>
      </w:r>
      <w:r>
        <w:rPr>
          <w:noProof/>
        </w:rPr>
        <w:drawing>
          <wp:inline distT="0" distB="0" distL="0" distR="0" wp14:anchorId="10A2A420" wp14:editId="4A7F0D7B">
            <wp:extent cx="561813" cy="381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4444" cy="382784"/>
                    </a:xfrm>
                    <a:prstGeom prst="rect">
                      <a:avLst/>
                    </a:prstGeom>
                    <a:noFill/>
                    <a:ln>
                      <a:noFill/>
                    </a:ln>
                  </pic:spPr>
                </pic:pic>
              </a:graphicData>
            </a:graphic>
          </wp:inline>
        </w:drawing>
      </w:r>
      <w:r>
        <w:t xml:space="preserve">      </w:t>
      </w:r>
      <w:r w:rsidR="00582062">
        <w:t>in cui all’ignizione</w:t>
      </w:r>
      <w:proofErr w:type="gramStart"/>
      <w:r w:rsidR="00582062">
        <w:t xml:space="preserve">  </w:t>
      </w:r>
      <w:proofErr w:type="gramEnd"/>
      <w:r w:rsidR="00582062">
        <w:t xml:space="preserve">sia </w:t>
      </w:r>
      <w:r w:rsidR="00582062">
        <w:rPr>
          <w:noProof/>
        </w:rPr>
        <w:drawing>
          <wp:inline distT="0" distB="0" distL="0" distR="0">
            <wp:extent cx="1222791" cy="3905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2791" cy="390525"/>
                    </a:xfrm>
                    <a:prstGeom prst="rect">
                      <a:avLst/>
                    </a:prstGeom>
                    <a:noFill/>
                    <a:ln>
                      <a:noFill/>
                    </a:ln>
                  </pic:spPr>
                </pic:pic>
              </a:graphicData>
            </a:graphic>
          </wp:inline>
        </w:drawing>
      </w:r>
      <w:r w:rsidR="00582062">
        <w:t xml:space="preserve">    </w:t>
      </w:r>
      <w:r w:rsidR="00582062">
        <w:rPr>
          <w:noProof/>
        </w:rPr>
        <w:drawing>
          <wp:inline distT="0" distB="0" distL="0" distR="0">
            <wp:extent cx="695325" cy="429632"/>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6632" cy="430440"/>
                    </a:xfrm>
                    <a:prstGeom prst="rect">
                      <a:avLst/>
                    </a:prstGeom>
                    <a:noFill/>
                    <a:ln>
                      <a:noFill/>
                    </a:ln>
                  </pic:spPr>
                </pic:pic>
              </a:graphicData>
            </a:graphic>
          </wp:inline>
        </w:drawing>
      </w:r>
    </w:p>
    <w:p w:rsidR="00EE2869" w:rsidRDefault="000E02F7">
      <w:r>
        <w:rPr>
          <w:noProof/>
        </w:rPr>
        <w:lastRenderedPageBreak/>
        <w:drawing>
          <wp:inline distT="0" distB="0" distL="0" distR="0">
            <wp:extent cx="6120130" cy="36531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ble and unstable ignition.png"/>
                    <pic:cNvPicPr/>
                  </pic:nvPicPr>
                  <pic:blipFill>
                    <a:blip r:embed="rId17">
                      <a:extLst>
                        <a:ext uri="{28A0092B-C50C-407E-A947-70E740481C1C}">
                          <a14:useLocalDpi xmlns:a14="http://schemas.microsoft.com/office/drawing/2010/main" val="0"/>
                        </a:ext>
                      </a:extLst>
                    </a:blip>
                    <a:stretch>
                      <a:fillRect/>
                    </a:stretch>
                  </pic:blipFill>
                  <pic:spPr>
                    <a:xfrm>
                      <a:off x="0" y="0"/>
                      <a:ext cx="6120130" cy="3653155"/>
                    </a:xfrm>
                    <a:prstGeom prst="rect">
                      <a:avLst/>
                    </a:prstGeom>
                  </pic:spPr>
                </pic:pic>
              </a:graphicData>
            </a:graphic>
          </wp:inline>
        </w:drawing>
      </w:r>
    </w:p>
    <w:p w:rsidR="001A7E3E" w:rsidRDefault="001A7E3E">
      <w:r>
        <w:t>Ingrandendo la zona e rovesciando il grafico si ottiene la situazione visibile sotto:</w:t>
      </w:r>
    </w:p>
    <w:p w:rsidR="001A7E3E" w:rsidRDefault="001A7E3E">
      <w:r>
        <w:rPr>
          <w:noProof/>
        </w:rPr>
        <w:drawing>
          <wp:inline distT="0" distB="0" distL="0" distR="0">
            <wp:extent cx="5020376" cy="1914792"/>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randimento.png"/>
                    <pic:cNvPicPr/>
                  </pic:nvPicPr>
                  <pic:blipFill>
                    <a:blip r:embed="rId18">
                      <a:extLst>
                        <a:ext uri="{28A0092B-C50C-407E-A947-70E740481C1C}">
                          <a14:useLocalDpi xmlns:a14="http://schemas.microsoft.com/office/drawing/2010/main" val="0"/>
                        </a:ext>
                      </a:extLst>
                    </a:blip>
                    <a:stretch>
                      <a:fillRect/>
                    </a:stretch>
                  </pic:blipFill>
                  <pic:spPr>
                    <a:xfrm>
                      <a:off x="0" y="0"/>
                      <a:ext cx="5020376" cy="1914792"/>
                    </a:xfrm>
                    <a:prstGeom prst="rect">
                      <a:avLst/>
                    </a:prstGeom>
                  </pic:spPr>
                </pic:pic>
              </a:graphicData>
            </a:graphic>
          </wp:inline>
        </w:drawing>
      </w:r>
      <w:r>
        <w:t xml:space="preserve"> </w:t>
      </w:r>
    </w:p>
    <w:p w:rsidR="00291C18" w:rsidRDefault="00291C18">
      <w:r>
        <w:t xml:space="preserve">Le condizioni in cui </w:t>
      </w:r>
      <w:proofErr w:type="gramStart"/>
      <w:r>
        <w:t xml:space="preserve">si </w:t>
      </w:r>
      <w:proofErr w:type="gramEnd"/>
      <w:r>
        <w:t xml:space="preserve">innesca l’auto sostentamento della reazione sono indicate dal rapporto </w:t>
      </w:r>
    </w:p>
    <w:p w:rsidR="00291C18" w:rsidRDefault="00291C18" w:rsidP="00291C18">
      <w:pPr>
        <w:jc w:val="center"/>
      </w:pPr>
      <w:r>
        <w:rPr>
          <w:noProof/>
        </w:rPr>
        <w:drawing>
          <wp:inline distT="0" distB="0" distL="0" distR="0">
            <wp:extent cx="1763777" cy="657225"/>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63777" cy="657225"/>
                    </a:xfrm>
                    <a:prstGeom prst="rect">
                      <a:avLst/>
                    </a:prstGeom>
                    <a:noFill/>
                    <a:ln>
                      <a:noFill/>
                    </a:ln>
                  </pic:spPr>
                </pic:pic>
              </a:graphicData>
            </a:graphic>
          </wp:inline>
        </w:drawing>
      </w:r>
    </w:p>
    <w:p w:rsidR="00291C18" w:rsidRDefault="00291C18" w:rsidP="00291C18">
      <w:r>
        <w:t xml:space="preserve">In qui la particolare condizione Q=1 è detta </w:t>
      </w:r>
      <w:proofErr w:type="spellStart"/>
      <w:proofErr w:type="gramStart"/>
      <w:r w:rsidRPr="00291C18">
        <w:rPr>
          <w:b/>
        </w:rPr>
        <w:t>Breakeven</w:t>
      </w:r>
      <w:proofErr w:type="spellEnd"/>
      <w:proofErr w:type="gramEnd"/>
      <w:r w:rsidRPr="00291C18">
        <w:rPr>
          <w:b/>
        </w:rPr>
        <w:t xml:space="preserve"> </w:t>
      </w:r>
    </w:p>
    <w:p w:rsidR="00953073" w:rsidRDefault="00953073"/>
    <w:p w:rsidR="00953073" w:rsidRDefault="00953073"/>
    <w:p w:rsidR="00953073" w:rsidRDefault="00953073"/>
    <w:p w:rsidR="00953073" w:rsidRDefault="00953073"/>
    <w:p w:rsidR="002A5BE8" w:rsidRPr="00953073" w:rsidRDefault="00953073">
      <w:pPr>
        <w:rPr>
          <w:b/>
        </w:rPr>
      </w:pPr>
      <w:r w:rsidRPr="00953073">
        <w:rPr>
          <w:b/>
        </w:rPr>
        <w:lastRenderedPageBreak/>
        <w:t xml:space="preserve">Riscaldamento addizionale per iniezione di neutri. </w:t>
      </w:r>
    </w:p>
    <w:p w:rsidR="00953073" w:rsidRDefault="00953073">
      <w:r>
        <w:t xml:space="preserve">La mancanza di carica permette agli atomi neutri di attraversare il plasma in linea retta senza che la traiettoria </w:t>
      </w:r>
      <w:r w:rsidR="0009076D">
        <w:t>sia</w:t>
      </w:r>
      <w:r>
        <w:t xml:space="preserve"> influenzata dalla presenza dei campi magnetici in essa contenuti.</w:t>
      </w:r>
    </w:p>
    <w:p w:rsidR="0009076D" w:rsidRDefault="0009076D">
      <w:r>
        <w:t xml:space="preserve">Quando la velocità dei neutri comporta la medesima velocità di ioni </w:t>
      </w:r>
      <w:proofErr w:type="gramStart"/>
      <w:r>
        <w:t>e</w:t>
      </w:r>
      <w:proofErr w:type="gramEnd"/>
      <w:r>
        <w:t xml:space="preserve"> elettroni si osserverà che l’energia sarà comunque trasportata quasi interamente dagli ioni a causa della massa più elevata. </w:t>
      </w:r>
    </w:p>
    <w:p w:rsidR="0009076D" w:rsidRDefault="0009076D">
      <w:r>
        <w:t xml:space="preserve">L’energia trasportata </w:t>
      </w:r>
      <w:proofErr w:type="gramStart"/>
      <w:r>
        <w:t>verrà</w:t>
      </w:r>
      <w:proofErr w:type="gramEnd"/>
      <w:r>
        <w:t xml:space="preserve"> ceduta ai componenti della mistura del plasma attraverso iterazioni a lunga distanza ovvero le collisioni di tipo Coulombiano .</w:t>
      </w:r>
    </w:p>
    <w:p w:rsidR="0009076D" w:rsidRDefault="0009076D">
      <w:r>
        <w:t>Consideriamo un assorbimento del fascio da parte del plasma, questo avverrà secondo tre tipi di processo</w:t>
      </w:r>
      <w:proofErr w:type="gramStart"/>
      <w:r>
        <w:t xml:space="preserve"> </w:t>
      </w:r>
      <w:r w:rsidR="007C2898">
        <w:t>:</w:t>
      </w:r>
      <w:proofErr w:type="gramEnd"/>
    </w:p>
    <w:p w:rsidR="007C2898" w:rsidRDefault="007C2898" w:rsidP="007C2898">
      <w:pPr>
        <w:pStyle w:val="ListParagraph"/>
        <w:numPr>
          <w:ilvl w:val="0"/>
          <w:numId w:val="1"/>
        </w:numPr>
      </w:pPr>
      <w:r>
        <w:t>Scambio di carica per temperature &lt;90KeV</w:t>
      </w:r>
    </w:p>
    <w:p w:rsidR="007C2898" w:rsidRDefault="00E92E84" w:rsidP="007C2898">
      <w:pPr>
        <w:pStyle w:val="ListParagraph"/>
        <w:numPr>
          <w:ilvl w:val="0"/>
          <w:numId w:val="1"/>
        </w:numPr>
      </w:pPr>
      <w:r>
        <w:t>Ionizzazione a causa degli ioni, specialmente in reazioni Deuterio-Trizio, per</w:t>
      </w:r>
      <w:proofErr w:type="gramStart"/>
      <w:r>
        <w:t xml:space="preserve">  </w:t>
      </w:r>
      <w:proofErr w:type="gramEnd"/>
      <w:r>
        <w:t>temperature &gt;90Kev</w:t>
      </w:r>
    </w:p>
    <w:p w:rsidR="00E92E84" w:rsidRDefault="00E92E84" w:rsidP="007C2898">
      <w:pPr>
        <w:pStyle w:val="ListParagraph"/>
        <w:numPr>
          <w:ilvl w:val="0"/>
          <w:numId w:val="1"/>
        </w:numPr>
      </w:pPr>
      <w:r>
        <w:t>Ionizzazione a causa degli elettroni.</w:t>
      </w:r>
    </w:p>
    <w:p w:rsidR="00E92E84" w:rsidRDefault="00E92E84" w:rsidP="00E92E84">
      <w:r>
        <w:t>Il riassunto delle tre situazioni è il seguente:</w:t>
      </w:r>
    </w:p>
    <w:p w:rsidR="00E92E84" w:rsidRDefault="00E92E84" w:rsidP="00E92E84">
      <w:r>
        <w:rPr>
          <w:noProof/>
        </w:rPr>
        <w:drawing>
          <wp:inline distT="0" distB="0" distL="0" distR="0">
            <wp:extent cx="4419600" cy="9921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27034" cy="993824"/>
                    </a:xfrm>
                    <a:prstGeom prst="rect">
                      <a:avLst/>
                    </a:prstGeom>
                    <a:noFill/>
                    <a:ln>
                      <a:noFill/>
                    </a:ln>
                  </pic:spPr>
                </pic:pic>
              </a:graphicData>
            </a:graphic>
          </wp:inline>
        </w:drawing>
      </w:r>
    </w:p>
    <w:p w:rsidR="00E92E84" w:rsidRDefault="00E92E84" w:rsidP="00E92E84">
      <w:r>
        <w:t>Si vede che sotto i 90KeV, per un fascio di deuterio, è predominante lo scambio di carica</w:t>
      </w:r>
      <w:r w:rsidR="001944FE">
        <w:t>, sopra questo limite diventa dominante la ionizzazione a causa degli ioni.</w:t>
      </w:r>
    </w:p>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Default="001B529C" w:rsidP="00E92E84"/>
    <w:p w:rsidR="001B529C" w:rsidRPr="001B529C" w:rsidRDefault="001B529C" w:rsidP="00E92E84">
      <w:pPr>
        <w:rPr>
          <w:lang w:val="en-US"/>
        </w:rPr>
      </w:pPr>
      <w:r w:rsidRPr="001B529C">
        <w:rPr>
          <w:lang w:val="en-US"/>
        </w:rPr>
        <w:lastRenderedPageBreak/>
        <w:t xml:space="preserve">Prof G. </w:t>
      </w:r>
      <w:proofErr w:type="spellStart"/>
      <w:r w:rsidRPr="001B529C">
        <w:rPr>
          <w:lang w:val="en-US"/>
        </w:rPr>
        <w:t>Casini</w:t>
      </w:r>
      <w:proofErr w:type="spellEnd"/>
      <w:r w:rsidRPr="001B529C">
        <w:rPr>
          <w:lang w:val="en-US"/>
        </w:rPr>
        <w:t>.</w:t>
      </w:r>
    </w:p>
    <w:p w:rsidR="001B529C" w:rsidRPr="004B0295" w:rsidRDefault="001B529C" w:rsidP="001B529C">
      <w:pPr>
        <w:spacing w:before="120"/>
        <w:ind w:left="720" w:hanging="720"/>
        <w:jc w:val="both"/>
        <w:rPr>
          <w:b/>
          <w:lang w:val="en-GB"/>
        </w:rPr>
      </w:pPr>
      <w:r w:rsidRPr="004B0295">
        <w:rPr>
          <w:b/>
          <w:lang w:val="en-GB"/>
        </w:rPr>
        <w:t>a)</w:t>
      </w:r>
      <w:r w:rsidRPr="004B0295">
        <w:rPr>
          <w:b/>
          <w:lang w:val="en-GB"/>
        </w:rPr>
        <w:tab/>
        <w:t>Define the primary effects of particle radiation in materials, namely atomic displacement and transmutation reactions and the subsequent phenomena in the material’s matrix structure</w:t>
      </w:r>
    </w:p>
    <w:p w:rsidR="001B529C" w:rsidRPr="004B0295" w:rsidRDefault="001B529C" w:rsidP="001B529C">
      <w:pPr>
        <w:ind w:left="720" w:hanging="720"/>
        <w:jc w:val="both"/>
        <w:rPr>
          <w:b/>
          <w:lang w:val="en-GB"/>
        </w:rPr>
      </w:pPr>
      <w:r w:rsidRPr="004B0295">
        <w:rPr>
          <w:b/>
          <w:lang w:val="en-GB"/>
        </w:rPr>
        <w:t>b)</w:t>
      </w:r>
      <w:r w:rsidRPr="004B0295">
        <w:rPr>
          <w:b/>
          <w:lang w:val="en-GB"/>
        </w:rPr>
        <w:tab/>
        <w:t>List the type of long term macroscopic effects in the materials of fusion power plant components. In case of structural materials of the first wall and breeding blanket, show the reasons of the present worldwide choice of martensitic-</w:t>
      </w:r>
      <w:proofErr w:type="spellStart"/>
      <w:r w:rsidRPr="004B0295">
        <w:rPr>
          <w:b/>
          <w:lang w:val="en-GB"/>
        </w:rPr>
        <w:t>ferritic</w:t>
      </w:r>
      <w:proofErr w:type="spellEnd"/>
      <w:r w:rsidRPr="004B0295">
        <w:rPr>
          <w:b/>
          <w:lang w:val="en-GB"/>
        </w:rPr>
        <w:t xml:space="preserve"> steels instead of that of stainless steel. Give details on the characteristics of this category of steels developed in Europe (EUROFER and ODS)</w:t>
      </w:r>
    </w:p>
    <w:p w:rsidR="004B0295" w:rsidRDefault="00394C2F" w:rsidP="004B0295">
      <w:r>
        <w:t xml:space="preserve">a) </w:t>
      </w:r>
      <w:r w:rsidR="004B0295" w:rsidRPr="004B0295">
        <w:t>Durante i fenomeni di collisione tra particelle ad alta energia</w:t>
      </w:r>
      <w:r w:rsidR="004B0295">
        <w:t>, ad esempio un fascio di neutr</w:t>
      </w:r>
      <w:r w:rsidR="004B0295" w:rsidRPr="004B0295">
        <w:t>oni</w:t>
      </w:r>
      <w:r w:rsidR="004B0295">
        <w:t>, protoni o anche elettroni</w:t>
      </w:r>
      <w:proofErr w:type="gramStart"/>
      <w:r w:rsidR="004B0295">
        <w:t xml:space="preserve"> </w:t>
      </w:r>
      <w:r w:rsidR="004B0295" w:rsidRPr="004B0295">
        <w:t xml:space="preserve"> </w:t>
      </w:r>
      <w:proofErr w:type="gramEnd"/>
      <w:r w:rsidR="004B0295">
        <w:t xml:space="preserve">che dispongano di almeno 150 </w:t>
      </w:r>
      <w:proofErr w:type="spellStart"/>
      <w:r w:rsidR="004B0295">
        <w:t>KeV</w:t>
      </w:r>
      <w:proofErr w:type="spellEnd"/>
      <w:r w:rsidR="004B0295">
        <w:t xml:space="preserve"> con la struttura reticolare del materiale metallico solido della prima parete si verifica uno spostamento della posizione degli elementi del reticolo chiamato </w:t>
      </w:r>
      <w:proofErr w:type="spellStart"/>
      <w:r w:rsidR="004B0295">
        <w:t>displacement</w:t>
      </w:r>
      <w:proofErr w:type="spellEnd"/>
      <w:r w:rsidR="004B0295">
        <w:t>.</w:t>
      </w:r>
    </w:p>
    <w:p w:rsidR="004B0295" w:rsidRDefault="004B0295" w:rsidP="004B0295">
      <w:r>
        <w:t xml:space="preserve">L’atomo dislocato </w:t>
      </w:r>
      <w:proofErr w:type="gramStart"/>
      <w:r>
        <w:t>viene</w:t>
      </w:r>
      <w:proofErr w:type="gramEnd"/>
      <w:r>
        <w:t xml:space="preserve"> definito interstiziale, mentre la posizione rimasta libera è una </w:t>
      </w:r>
      <w:proofErr w:type="spellStart"/>
      <w:r>
        <w:t>vacancy</w:t>
      </w:r>
      <w:proofErr w:type="spellEnd"/>
      <w:r>
        <w:t xml:space="preserve">. La coppia interstizio e </w:t>
      </w:r>
      <w:proofErr w:type="spellStart"/>
      <w:r>
        <w:t>vacancy</w:t>
      </w:r>
      <w:proofErr w:type="spellEnd"/>
      <w:r>
        <w:t xml:space="preserve"> </w:t>
      </w:r>
      <w:proofErr w:type="gramStart"/>
      <w:r>
        <w:t>viene</w:t>
      </w:r>
      <w:proofErr w:type="gramEnd"/>
      <w:r>
        <w:t xml:space="preserve"> detta </w:t>
      </w:r>
      <w:proofErr w:type="spellStart"/>
      <w:r>
        <w:t>Frenkel</w:t>
      </w:r>
      <w:proofErr w:type="spellEnd"/>
      <w:r>
        <w:t xml:space="preserve"> </w:t>
      </w:r>
      <w:proofErr w:type="spellStart"/>
      <w:r>
        <w:t>pair</w:t>
      </w:r>
      <w:proofErr w:type="spellEnd"/>
      <w:r>
        <w:t>.</w:t>
      </w:r>
    </w:p>
    <w:p w:rsidR="004B0295" w:rsidRDefault="004B0295" w:rsidP="004B0295">
      <w:r>
        <w:t xml:space="preserve">Il fenomeno comporta una variazione di energia potenziale del materiale che compone l’oggetto colpito ed è </w:t>
      </w:r>
      <w:r w:rsidR="00394C2F">
        <w:t>immagazzinata</w:t>
      </w:r>
      <w:r>
        <w:t xml:space="preserve"> nel suo reticolo cristallino.</w:t>
      </w:r>
    </w:p>
    <w:p w:rsidR="00394C2F" w:rsidRDefault="00394C2F" w:rsidP="004B0295">
      <w:r>
        <w:t xml:space="preserve">Il percorso degli urti all’interno del cristallo è variamente ramificato, e si </w:t>
      </w:r>
      <w:proofErr w:type="gramStart"/>
      <w:r>
        <w:t>conclude</w:t>
      </w:r>
      <w:proofErr w:type="gramEnd"/>
      <w:r>
        <w:t xml:space="preserve"> in porzioni fortemente frastagliate chiamate cluster.</w:t>
      </w:r>
    </w:p>
    <w:p w:rsidR="00394C2F" w:rsidRDefault="00394C2F" w:rsidP="004B0295">
      <w:r>
        <w:t>Il parametro DPA è il numero medio di atomi dislocati a causa di un singolo urto con una particella accelerata</w:t>
      </w:r>
      <w:proofErr w:type="gramStart"/>
      <w:r>
        <w:t xml:space="preserve">  </w:t>
      </w:r>
      <w:proofErr w:type="gramEnd"/>
      <w:r>
        <w:t>ed è proporzionale al flusso di particelle incidenti integrati nel tempo.</w:t>
      </w:r>
    </w:p>
    <w:p w:rsidR="00394C2F" w:rsidRPr="004B0295" w:rsidRDefault="00394C2F" w:rsidP="004B0295">
      <w:r>
        <w:t xml:space="preserve">Il parametro NIEL quantifica il danno subito dal materiale per </w:t>
      </w:r>
      <w:proofErr w:type="spellStart"/>
      <w:r>
        <w:t>displacement</w:t>
      </w:r>
      <w:proofErr w:type="spellEnd"/>
      <w:r>
        <w:t xml:space="preserve">. </w:t>
      </w:r>
    </w:p>
    <w:p w:rsidR="001B529C" w:rsidRPr="00FB5E68" w:rsidRDefault="00394C2F" w:rsidP="00FB5E68">
      <w:r w:rsidRPr="00394C2F">
        <w:t>b) Quando il fascio di neutron</w:t>
      </w:r>
      <w:r w:rsidR="00D86CC6">
        <w:t>i</w:t>
      </w:r>
      <w:proofErr w:type="gramStart"/>
      <w:r w:rsidR="00D86CC6">
        <w:t xml:space="preserve"> </w:t>
      </w:r>
      <w:r w:rsidRPr="00394C2F">
        <w:t xml:space="preserve"> </w:t>
      </w:r>
      <w:proofErr w:type="gramEnd"/>
      <w:r w:rsidRPr="00394C2F">
        <w:t xml:space="preserve">colpisce la prima parete o anche alcune zone dei </w:t>
      </w:r>
      <w:proofErr w:type="spellStart"/>
      <w:r w:rsidRPr="00394C2F">
        <w:t>divertori</w:t>
      </w:r>
      <w:proofErr w:type="spellEnd"/>
      <w:r w:rsidRPr="00394C2F">
        <w:t xml:space="preserve">  è possibile che avvengano delle variazioni </w:t>
      </w:r>
      <w:r>
        <w:t>all’interno della materia a causa dello sviluppo e rilascio principalmente di idrogeno</w:t>
      </w:r>
      <w:r w:rsidR="00D86CC6">
        <w:t xml:space="preserve"> o anche elio</w:t>
      </w:r>
      <w:r>
        <w:t>.</w:t>
      </w:r>
      <w:r w:rsidR="00D86CC6">
        <w:t xml:space="preserve">  Si creano all’interno del materiale delle pressioni e delle fioriture chiamate gonfiori che “</w:t>
      </w:r>
      <w:proofErr w:type="spellStart"/>
      <w:r w:rsidR="00D86CC6">
        <w:t>swelling</w:t>
      </w:r>
      <w:proofErr w:type="spellEnd"/>
      <w:r w:rsidR="00D86CC6">
        <w:t>”</w:t>
      </w:r>
      <w:proofErr w:type="gramStart"/>
      <w:r w:rsidR="00D86CC6">
        <w:t xml:space="preserve"> .</w:t>
      </w:r>
      <w:proofErr w:type="gramEnd"/>
      <w:r w:rsidR="00D86CC6">
        <w:t xml:space="preserve">  Nel lungo periodo causa </w:t>
      </w:r>
      <w:proofErr w:type="spellStart"/>
      <w:r w:rsidR="00D86CC6">
        <w:t>swellin</w:t>
      </w:r>
      <w:proofErr w:type="spellEnd"/>
      <w:r w:rsidR="00D86CC6">
        <w:t xml:space="preserve">, </w:t>
      </w:r>
      <w:proofErr w:type="spellStart"/>
      <w:r w:rsidR="00D86CC6">
        <w:t>hardening</w:t>
      </w:r>
      <w:proofErr w:type="spellEnd"/>
      <w:r w:rsidR="00D86CC6">
        <w:t xml:space="preserve"> e incremento del parametro </w:t>
      </w:r>
      <w:proofErr w:type="spellStart"/>
      <w:r w:rsidR="00D86CC6">
        <w:t>Ductile</w:t>
      </w:r>
      <w:proofErr w:type="spellEnd"/>
      <w:r w:rsidR="00D86CC6">
        <w:t xml:space="preserve"> to </w:t>
      </w:r>
      <w:proofErr w:type="spellStart"/>
      <w:r w:rsidR="00D86CC6">
        <w:t>brittile</w:t>
      </w:r>
      <w:proofErr w:type="spellEnd"/>
      <w:r w:rsidR="00D86CC6">
        <w:t xml:space="preserve"> </w:t>
      </w:r>
      <w:proofErr w:type="spellStart"/>
      <w:r w:rsidR="00D86CC6">
        <w:t>transition</w:t>
      </w:r>
      <w:proofErr w:type="spellEnd"/>
      <w:r w:rsidR="00D86CC6">
        <w:t xml:space="preserve"> DBTT.</w:t>
      </w:r>
    </w:p>
    <w:p w:rsidR="001B529C" w:rsidRPr="00FB5E68" w:rsidRDefault="001B529C" w:rsidP="00FB5E68">
      <w:bookmarkStart w:id="0" w:name="_GoBack"/>
      <w:bookmarkEnd w:id="0"/>
      <w:r w:rsidRPr="00FB5E68">
        <w:rPr>
          <w:lang w:val="en-US"/>
        </w:rPr>
        <w:t>In case of fusion reactor, because of the swelling effect, the martensitic-</w:t>
      </w:r>
      <w:proofErr w:type="spellStart"/>
      <w:r w:rsidRPr="00FB5E68">
        <w:rPr>
          <w:lang w:val="en-US"/>
        </w:rPr>
        <w:t>ferritic</w:t>
      </w:r>
      <w:proofErr w:type="spellEnd"/>
      <w:r w:rsidRPr="00FB5E68">
        <w:rPr>
          <w:lang w:val="en-US"/>
        </w:rPr>
        <w:t xml:space="preserve"> steel gives better performance with respect to austenitic steel and for this reason it is the worldwide choice. </w:t>
      </w:r>
      <w:r w:rsidRPr="00FB5E68">
        <w:t xml:space="preserve">The EUROFER </w:t>
      </w:r>
      <w:proofErr w:type="spellStart"/>
      <w:r w:rsidRPr="00FB5E68">
        <w:t>is</w:t>
      </w:r>
      <w:proofErr w:type="spellEnd"/>
      <w:r w:rsidRPr="00FB5E68">
        <w:t xml:space="preserve"> </w:t>
      </w:r>
      <w:proofErr w:type="spellStart"/>
      <w:r w:rsidRPr="00FB5E68">
        <w:t>designed</w:t>
      </w:r>
      <w:proofErr w:type="spellEnd"/>
      <w:r w:rsidRPr="00FB5E68">
        <w:t xml:space="preserve"> to have a low neutron activation and the ODS to have high creep resistance at high temperature.</w:t>
      </w:r>
    </w:p>
    <w:p w:rsidR="001B529C" w:rsidRPr="001B529C" w:rsidRDefault="001B529C" w:rsidP="00E92E84">
      <w:pPr>
        <w:rPr>
          <w:lang w:val="en-GB"/>
        </w:rPr>
      </w:pPr>
    </w:p>
    <w:sectPr w:rsidR="001B529C" w:rsidRPr="001B529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C67BA"/>
    <w:multiLevelType w:val="hybridMultilevel"/>
    <w:tmpl w:val="4658F0C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59B"/>
    <w:rsid w:val="000876AF"/>
    <w:rsid w:val="0009076D"/>
    <w:rsid w:val="000D121D"/>
    <w:rsid w:val="000E02F7"/>
    <w:rsid w:val="001944FE"/>
    <w:rsid w:val="001A7E3E"/>
    <w:rsid w:val="001B529C"/>
    <w:rsid w:val="001C1CE0"/>
    <w:rsid w:val="00291C18"/>
    <w:rsid w:val="002A49C0"/>
    <w:rsid w:val="002A5BE8"/>
    <w:rsid w:val="00365AB1"/>
    <w:rsid w:val="00394C2F"/>
    <w:rsid w:val="0044132D"/>
    <w:rsid w:val="004B0295"/>
    <w:rsid w:val="00573DBA"/>
    <w:rsid w:val="00582062"/>
    <w:rsid w:val="00593E50"/>
    <w:rsid w:val="00633E63"/>
    <w:rsid w:val="007C2898"/>
    <w:rsid w:val="00812E45"/>
    <w:rsid w:val="0082259B"/>
    <w:rsid w:val="0090438D"/>
    <w:rsid w:val="00953073"/>
    <w:rsid w:val="00CE75FE"/>
    <w:rsid w:val="00D86CC6"/>
    <w:rsid w:val="00DE3BF6"/>
    <w:rsid w:val="00E25704"/>
    <w:rsid w:val="00E306BE"/>
    <w:rsid w:val="00E92E84"/>
    <w:rsid w:val="00EE2869"/>
    <w:rsid w:val="00FB5E68"/>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2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59B"/>
    <w:rPr>
      <w:rFonts w:ascii="Tahoma" w:hAnsi="Tahoma" w:cs="Tahoma"/>
      <w:sz w:val="16"/>
      <w:szCs w:val="16"/>
    </w:rPr>
  </w:style>
  <w:style w:type="paragraph" w:styleId="ListParagraph">
    <w:name w:val="List Paragraph"/>
    <w:basedOn w:val="Normal"/>
    <w:uiPriority w:val="34"/>
    <w:qFormat/>
    <w:rsid w:val="007C289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25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59B"/>
    <w:rPr>
      <w:rFonts w:ascii="Tahoma" w:hAnsi="Tahoma" w:cs="Tahoma"/>
      <w:sz w:val="16"/>
      <w:szCs w:val="16"/>
    </w:rPr>
  </w:style>
  <w:style w:type="paragraph" w:styleId="ListParagraph">
    <w:name w:val="List Paragraph"/>
    <w:basedOn w:val="Normal"/>
    <w:uiPriority w:val="34"/>
    <w:qFormat/>
    <w:rsid w:val="007C28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340</TotalTime>
  <Pages>4</Pages>
  <Words>905</Words>
  <Characters>5163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Gottardo Marco</dc:creator>
  <cp:lastModifiedBy>Gottardo Marco</cp:lastModifiedBy>
  <cp:revision>12</cp:revision>
  <dcterms:created xsi:type="dcterms:W3CDTF">2014-04-03T11:38:00Z</dcterms:created>
  <dcterms:modified xsi:type="dcterms:W3CDTF">2014-04-29T07:29:00Z</dcterms:modified>
</cp:coreProperties>
</file>